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2CB9" w14:textId="77777777" w:rsidR="00021DCE" w:rsidRPr="00330978" w:rsidRDefault="0059378B" w:rsidP="00C95F29">
      <w:pPr>
        <w:pStyle w:val="Padro"/>
        <w:spacing w:before="0" w:line="360" w:lineRule="auto"/>
        <w:jc w:val="center"/>
        <w:rPr>
          <w:rFonts w:ascii="Arial" w:hAnsi="Arial"/>
          <w:b/>
          <w:bCs/>
          <w:caps/>
        </w:rPr>
      </w:pPr>
      <w:r w:rsidRPr="004E29CC">
        <w:rPr>
          <w:rFonts w:ascii="Arial" w:hAnsi="Arial"/>
          <w:b/>
          <w:bCs/>
          <w:caps/>
          <w:color w:val="auto"/>
        </w:rPr>
        <w:t>TechEnabler</w:t>
      </w:r>
      <w:r w:rsidRPr="00330978">
        <w:rPr>
          <w:rFonts w:ascii="Arial" w:hAnsi="Arial"/>
          <w:b/>
          <w:bCs/>
          <w:caps/>
        </w:rPr>
        <w:t xml:space="preserve"> lança na Abrint Nordeste solução de observabilidade multinuvem para redes de qualquer tamanho </w:t>
      </w:r>
    </w:p>
    <w:p w14:paraId="4E8A338A" w14:textId="77777777" w:rsidR="00110C5C" w:rsidRPr="00DC23A0" w:rsidRDefault="00110C5C" w:rsidP="00C95F29">
      <w:pPr>
        <w:pStyle w:val="Padro"/>
        <w:spacing w:before="0" w:line="360" w:lineRule="auto"/>
        <w:jc w:val="center"/>
        <w:rPr>
          <w:rFonts w:ascii="Arial" w:eastAsia="Times New Roman" w:hAnsi="Arial" w:cs="Arial"/>
          <w:b/>
          <w:bCs/>
        </w:rPr>
      </w:pPr>
    </w:p>
    <w:p w14:paraId="7B5351B6" w14:textId="7A745E8E" w:rsidR="00C95F29" w:rsidRPr="003440D3" w:rsidRDefault="00C95F29" w:rsidP="00A74D38">
      <w:pPr>
        <w:pStyle w:val="Padro"/>
        <w:spacing w:before="0" w:line="240" w:lineRule="auto"/>
        <w:rPr>
          <w:rFonts w:ascii="Arial" w:hAnsi="Arial" w:cs="Arial"/>
        </w:rPr>
      </w:pPr>
    </w:p>
    <w:p w14:paraId="573B68E9" w14:textId="107D0D36" w:rsidR="00021DCE" w:rsidRPr="00A52E70" w:rsidRDefault="0059378B" w:rsidP="00586766">
      <w:pPr>
        <w:pStyle w:val="Padro"/>
        <w:spacing w:before="0" w:line="360" w:lineRule="auto"/>
        <w:rPr>
          <w:rFonts w:ascii="Arial" w:hAnsi="Arial" w:cs="Arial"/>
          <w:sz w:val="22"/>
          <w:szCs w:val="22"/>
        </w:rPr>
      </w:pPr>
      <w:r w:rsidRPr="00A52E70">
        <w:rPr>
          <w:rFonts w:ascii="Arial" w:hAnsi="Arial" w:cs="Arial"/>
          <w:b/>
          <w:bCs/>
          <w:color w:val="auto"/>
          <w:sz w:val="22"/>
          <w:szCs w:val="22"/>
        </w:rPr>
        <w:t xml:space="preserve">São Paulo, </w:t>
      </w:r>
      <w:r w:rsidR="0026468C" w:rsidRPr="00A52E70">
        <w:rPr>
          <w:rFonts w:ascii="Arial" w:hAnsi="Arial" w:cs="Arial"/>
          <w:b/>
          <w:bCs/>
          <w:color w:val="auto"/>
          <w:sz w:val="22"/>
          <w:szCs w:val="22"/>
        </w:rPr>
        <w:t>29 de novembro de 2024</w:t>
      </w:r>
      <w:r w:rsidRPr="00110C5C">
        <w:rPr>
          <w:rFonts w:ascii="Arial" w:hAnsi="Arial" w:cs="Arial"/>
          <w:color w:val="auto"/>
          <w:sz w:val="22"/>
          <w:szCs w:val="22"/>
        </w:rPr>
        <w:t xml:space="preserve"> </w:t>
      </w:r>
      <w:r w:rsidR="00A52E70">
        <w:rPr>
          <w:rFonts w:ascii="Arial" w:hAnsi="Arial" w:cs="Arial"/>
          <w:sz w:val="22"/>
          <w:szCs w:val="22"/>
        </w:rPr>
        <w:t>–</w:t>
      </w:r>
      <w:r w:rsidRPr="00110C5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21DCE" w:rsidRPr="00050555">
        <w:rPr>
          <w:rStyle w:val="Hyperlink0"/>
          <w:rFonts w:ascii="Arial" w:hAnsi="Arial" w:cs="Arial"/>
          <w:color w:val="0070C0"/>
          <w:sz w:val="22"/>
          <w:szCs w:val="22"/>
        </w:rPr>
        <w:t>TechEnabler</w:t>
      </w:r>
      <w:proofErr w:type="spellEnd"/>
      <w:r w:rsidRPr="00110C5C">
        <w:rPr>
          <w:rFonts w:ascii="Arial" w:hAnsi="Arial" w:cs="Arial"/>
          <w:sz w:val="22"/>
          <w:szCs w:val="22"/>
        </w:rPr>
        <w:t xml:space="preserve">, </w:t>
      </w:r>
      <w:r w:rsidR="00B84F05" w:rsidRPr="00110C5C">
        <w:rPr>
          <w:rFonts w:ascii="Arial" w:hAnsi="Arial" w:cs="Arial"/>
          <w:sz w:val="22"/>
          <w:szCs w:val="22"/>
        </w:rPr>
        <w:t>provedora de soluções de rede brasileira com experiência multidisciplinar nos mercados de telecomunicações e TI</w:t>
      </w:r>
      <w:r w:rsidRPr="00110C5C">
        <w:rPr>
          <w:rFonts w:ascii="Arial" w:hAnsi="Arial" w:cs="Arial"/>
          <w:sz w:val="22"/>
          <w:szCs w:val="22"/>
        </w:rPr>
        <w:t xml:space="preserve">, leva à </w:t>
      </w:r>
      <w:proofErr w:type="spellStart"/>
      <w:r w:rsidRPr="00110C5C">
        <w:rPr>
          <w:rFonts w:ascii="Arial" w:hAnsi="Arial" w:cs="Arial"/>
          <w:sz w:val="22"/>
          <w:szCs w:val="22"/>
        </w:rPr>
        <w:t>Abrint</w:t>
      </w:r>
      <w:proofErr w:type="spellEnd"/>
      <w:r w:rsidRPr="00110C5C">
        <w:rPr>
          <w:rFonts w:ascii="Arial" w:hAnsi="Arial" w:cs="Arial"/>
          <w:sz w:val="22"/>
          <w:szCs w:val="22"/>
        </w:rPr>
        <w:t xml:space="preserve"> Nordeste so</w:t>
      </w:r>
      <w:r w:rsidR="00586766" w:rsidRPr="00110C5C">
        <w:rPr>
          <w:rFonts w:ascii="Arial" w:hAnsi="Arial" w:cs="Arial"/>
          <w:sz w:val="22"/>
          <w:szCs w:val="22"/>
        </w:rPr>
        <w:t>luçõe</w:t>
      </w:r>
      <w:r w:rsidRPr="00110C5C">
        <w:rPr>
          <w:rFonts w:ascii="Arial" w:hAnsi="Arial" w:cs="Arial"/>
          <w:sz w:val="22"/>
          <w:szCs w:val="22"/>
        </w:rPr>
        <w:t xml:space="preserve">s para aprimorar a segurança e o desempenho de redes públicas e corporativas de comunicação. </w:t>
      </w:r>
    </w:p>
    <w:p w14:paraId="1D349D58" w14:textId="77777777" w:rsidR="00021DCE" w:rsidRPr="00110C5C" w:rsidRDefault="00021DCE" w:rsidP="00586766">
      <w:pPr>
        <w:pStyle w:val="Padro"/>
        <w:spacing w:before="0" w:line="360" w:lineRule="auto"/>
        <w:rPr>
          <w:rFonts w:ascii="Arial" w:eastAsia="Arial" w:hAnsi="Arial" w:cs="Arial"/>
          <w:sz w:val="22"/>
          <w:szCs w:val="22"/>
        </w:rPr>
      </w:pPr>
    </w:p>
    <w:p w14:paraId="068505A0" w14:textId="1161E53F" w:rsidR="00021DCE" w:rsidRPr="004414CF" w:rsidRDefault="0059378B" w:rsidP="00586766">
      <w:pPr>
        <w:pStyle w:val="Padro"/>
        <w:spacing w:before="0" w:line="360" w:lineRule="auto"/>
        <w:rPr>
          <w:rFonts w:ascii="Arial" w:hAnsi="Arial" w:cs="Arial"/>
          <w:color w:val="auto"/>
          <w:sz w:val="22"/>
          <w:szCs w:val="22"/>
        </w:rPr>
      </w:pPr>
      <w:r w:rsidRPr="004414CF">
        <w:rPr>
          <w:rFonts w:ascii="Arial" w:hAnsi="Arial" w:cs="Arial"/>
          <w:color w:val="auto"/>
          <w:sz w:val="22"/>
          <w:szCs w:val="22"/>
        </w:rPr>
        <w:t>Irá introduzir no País a plataforma</w:t>
      </w:r>
      <w:r w:rsidR="00BB0E2A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7" w:history="1">
        <w:proofErr w:type="spellStart"/>
        <w:r w:rsidR="00BB0E2A" w:rsidRPr="00050555">
          <w:rPr>
            <w:rStyle w:val="Hyperlink"/>
            <w:rFonts w:ascii="Arial" w:hAnsi="Arial" w:cs="Arial"/>
            <w:color w:val="0070C0"/>
            <w:sz w:val="22"/>
            <w:szCs w:val="22"/>
          </w:rPr>
          <w:t>Unryo</w:t>
        </w:r>
        <w:proofErr w:type="spellEnd"/>
      </w:hyperlink>
      <w:r w:rsidR="00BB0E2A">
        <w:rPr>
          <w:rFonts w:ascii="Arial" w:hAnsi="Arial" w:cs="Arial"/>
          <w:color w:val="auto"/>
          <w:sz w:val="22"/>
          <w:szCs w:val="22"/>
        </w:rPr>
        <w:t xml:space="preserve"> </w:t>
      </w:r>
      <w:r w:rsidRPr="004414CF">
        <w:rPr>
          <w:rFonts w:ascii="Arial" w:hAnsi="Arial" w:cs="Arial"/>
          <w:color w:val="auto"/>
          <w:sz w:val="22"/>
          <w:szCs w:val="22"/>
        </w:rPr>
        <w:t>para integrar o gerenciam</w:t>
      </w:r>
      <w:r w:rsidR="00586766" w:rsidRPr="004414CF">
        <w:rPr>
          <w:rFonts w:ascii="Arial" w:hAnsi="Arial" w:cs="Arial"/>
          <w:color w:val="auto"/>
          <w:sz w:val="22"/>
          <w:szCs w:val="22"/>
        </w:rPr>
        <w:t>e</w:t>
      </w:r>
      <w:r w:rsidRPr="004414CF">
        <w:rPr>
          <w:rFonts w:ascii="Arial" w:hAnsi="Arial" w:cs="Arial"/>
          <w:color w:val="auto"/>
          <w:sz w:val="22"/>
          <w:szCs w:val="22"/>
        </w:rPr>
        <w:t>nto de dife</w:t>
      </w:r>
      <w:r w:rsidR="00586766" w:rsidRPr="004414CF">
        <w:rPr>
          <w:rFonts w:ascii="Arial" w:hAnsi="Arial" w:cs="Arial"/>
          <w:color w:val="auto"/>
          <w:sz w:val="22"/>
          <w:szCs w:val="22"/>
        </w:rPr>
        <w:t>r</w:t>
      </w:r>
      <w:r w:rsidRPr="004414CF">
        <w:rPr>
          <w:rFonts w:ascii="Arial" w:hAnsi="Arial" w:cs="Arial"/>
          <w:color w:val="auto"/>
          <w:sz w:val="22"/>
          <w:szCs w:val="22"/>
        </w:rPr>
        <w:t xml:space="preserve">entes plataformas de </w:t>
      </w:r>
      <w:proofErr w:type="spellStart"/>
      <w:r w:rsidRPr="004414CF">
        <w:rPr>
          <w:rFonts w:ascii="Arial" w:hAnsi="Arial" w:cs="Arial"/>
          <w:color w:val="auto"/>
          <w:sz w:val="22"/>
          <w:szCs w:val="22"/>
        </w:rPr>
        <w:t>observabilidade</w:t>
      </w:r>
      <w:proofErr w:type="spellEnd"/>
      <w:r w:rsidRPr="004414CF">
        <w:rPr>
          <w:rFonts w:ascii="Arial" w:hAnsi="Arial" w:cs="Arial"/>
          <w:color w:val="auto"/>
          <w:sz w:val="22"/>
          <w:szCs w:val="22"/>
        </w:rPr>
        <w:t>, consolidando os dados de todas elas em pai</w:t>
      </w:r>
      <w:r w:rsidR="00586766" w:rsidRPr="004414CF">
        <w:rPr>
          <w:rFonts w:ascii="Arial" w:hAnsi="Arial" w:cs="Arial"/>
          <w:color w:val="auto"/>
          <w:sz w:val="22"/>
          <w:szCs w:val="22"/>
        </w:rPr>
        <w:t>né</w:t>
      </w:r>
      <w:r w:rsidRPr="004414CF">
        <w:rPr>
          <w:rFonts w:ascii="Arial" w:hAnsi="Arial" w:cs="Arial"/>
          <w:color w:val="auto"/>
          <w:sz w:val="22"/>
          <w:szCs w:val="22"/>
        </w:rPr>
        <w:t xml:space="preserve">is e relatórios personalizados. Por suas características e preço essa plataforma pode ser utilizada em redes de qualquer tamanho. </w:t>
      </w:r>
    </w:p>
    <w:p w14:paraId="698EB0D1" w14:textId="77777777" w:rsidR="000E6C95" w:rsidRPr="00110C5C" w:rsidRDefault="000E6C95" w:rsidP="00586766">
      <w:pPr>
        <w:pStyle w:val="Padro"/>
        <w:spacing w:before="0" w:line="360" w:lineRule="auto"/>
        <w:rPr>
          <w:rFonts w:ascii="Arial" w:hAnsi="Arial" w:cs="Arial"/>
          <w:sz w:val="22"/>
          <w:szCs w:val="22"/>
        </w:rPr>
      </w:pPr>
    </w:p>
    <w:p w14:paraId="6BAE4B61" w14:textId="5E8E4C5B" w:rsidR="000E6C95" w:rsidRPr="00110C5C" w:rsidRDefault="000E6C95" w:rsidP="000E6C95">
      <w:pPr>
        <w:pStyle w:val="Padro"/>
        <w:spacing w:before="0" w:line="360" w:lineRule="auto"/>
        <w:rPr>
          <w:rFonts w:ascii="Arial" w:hAnsi="Arial" w:cs="Arial"/>
          <w:color w:val="0D0D0D"/>
          <w:sz w:val="22"/>
          <w:szCs w:val="22"/>
        </w:rPr>
      </w:pPr>
      <w:r w:rsidRPr="00110C5C">
        <w:rPr>
          <w:rFonts w:ascii="Arial" w:hAnsi="Arial" w:cs="Arial"/>
          <w:color w:val="0D0D0D"/>
          <w:sz w:val="22"/>
          <w:szCs w:val="22"/>
        </w:rPr>
        <w:t xml:space="preserve">“Alinhada à crescente digitalização das infraestruturas tecnológicas, a </w:t>
      </w:r>
      <w:proofErr w:type="spellStart"/>
      <w:r w:rsidRPr="00110C5C">
        <w:rPr>
          <w:rFonts w:ascii="Arial" w:hAnsi="Arial" w:cs="Arial"/>
          <w:color w:val="0D0D0D"/>
          <w:sz w:val="22"/>
          <w:szCs w:val="22"/>
        </w:rPr>
        <w:t>TechEnabler</w:t>
      </w:r>
      <w:proofErr w:type="spellEnd"/>
      <w:r w:rsidRPr="00110C5C">
        <w:rPr>
          <w:rFonts w:ascii="Arial" w:hAnsi="Arial" w:cs="Arial"/>
          <w:color w:val="0D0D0D"/>
          <w:sz w:val="22"/>
          <w:szCs w:val="22"/>
        </w:rPr>
        <w:t xml:space="preserve"> traz a  </w:t>
      </w:r>
      <w:proofErr w:type="spellStart"/>
      <w:r w:rsidRPr="00110C5C">
        <w:rPr>
          <w:rFonts w:ascii="Arial" w:hAnsi="Arial" w:cs="Arial"/>
          <w:color w:val="0D0D0D"/>
          <w:sz w:val="22"/>
          <w:szCs w:val="22"/>
        </w:rPr>
        <w:t>observabilidade</w:t>
      </w:r>
      <w:proofErr w:type="spellEnd"/>
      <w:r w:rsidRPr="00110C5C">
        <w:rPr>
          <w:rFonts w:ascii="Arial" w:hAnsi="Arial" w:cs="Arial"/>
          <w:color w:val="0D0D0D"/>
          <w:sz w:val="22"/>
          <w:szCs w:val="22"/>
        </w:rPr>
        <w:t xml:space="preserve"> </w:t>
      </w:r>
      <w:proofErr w:type="spellStart"/>
      <w:r w:rsidRPr="00110C5C">
        <w:rPr>
          <w:rFonts w:ascii="Arial" w:hAnsi="Arial" w:cs="Arial"/>
          <w:color w:val="0D0D0D"/>
          <w:sz w:val="22"/>
          <w:szCs w:val="22"/>
        </w:rPr>
        <w:t>multinuvem</w:t>
      </w:r>
      <w:proofErr w:type="spellEnd"/>
      <w:r w:rsidRPr="00110C5C">
        <w:rPr>
          <w:rFonts w:ascii="Arial" w:hAnsi="Arial" w:cs="Arial"/>
          <w:color w:val="0D0D0D"/>
          <w:sz w:val="22"/>
          <w:szCs w:val="22"/>
        </w:rPr>
        <w:t>, que facilitará a entrada de seus clientes em novos mercados e a oferta de serviços de maior valor agregado, como segurança e SLA aprimorados”, diz Álvaro Aquino</w:t>
      </w:r>
      <w:r w:rsidR="003440D3" w:rsidRPr="00110C5C">
        <w:rPr>
          <w:rFonts w:ascii="Arial" w:hAnsi="Arial" w:cs="Arial"/>
          <w:color w:val="0D0D0D"/>
          <w:sz w:val="22"/>
          <w:szCs w:val="22"/>
        </w:rPr>
        <w:t>,</w:t>
      </w:r>
      <w:r w:rsidR="003440D3" w:rsidRPr="00110C5C">
        <w:rPr>
          <w:rFonts w:ascii="Arial" w:hAnsi="Arial" w:cs="Arial"/>
          <w:sz w:val="22"/>
          <w:szCs w:val="22"/>
        </w:rPr>
        <w:t xml:space="preserve"> diretor geral da </w:t>
      </w:r>
      <w:proofErr w:type="spellStart"/>
      <w:r w:rsidR="003440D3" w:rsidRPr="00110C5C">
        <w:rPr>
          <w:rFonts w:ascii="Arial" w:hAnsi="Arial" w:cs="Arial"/>
          <w:sz w:val="22"/>
          <w:szCs w:val="22"/>
        </w:rPr>
        <w:t>TechEnabler</w:t>
      </w:r>
      <w:proofErr w:type="spellEnd"/>
      <w:r w:rsidR="00957E29" w:rsidRPr="00110C5C">
        <w:rPr>
          <w:rFonts w:ascii="Arial" w:hAnsi="Arial" w:cs="Arial"/>
          <w:sz w:val="22"/>
          <w:szCs w:val="22"/>
        </w:rPr>
        <w:t>.</w:t>
      </w:r>
      <w:r w:rsidRPr="00110C5C">
        <w:rPr>
          <w:rFonts w:ascii="Arial" w:hAnsi="Arial" w:cs="Arial"/>
          <w:color w:val="0D0D0D"/>
          <w:sz w:val="22"/>
          <w:szCs w:val="22"/>
        </w:rPr>
        <w:t xml:space="preserve"> </w:t>
      </w:r>
    </w:p>
    <w:p w14:paraId="383577A2" w14:textId="77777777" w:rsidR="00021DCE" w:rsidRPr="00110C5C" w:rsidRDefault="00021DCE">
      <w:pPr>
        <w:pStyle w:val="Padro"/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0BACE645" w14:textId="3BAEF043" w:rsidR="00586766" w:rsidRPr="00110C5C" w:rsidRDefault="00586766" w:rsidP="00586766">
      <w:pPr>
        <w:pStyle w:val="Padro"/>
        <w:spacing w:before="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110C5C">
        <w:rPr>
          <w:rFonts w:ascii="Arial" w:hAnsi="Arial" w:cs="Arial"/>
          <w:b/>
          <w:bCs/>
          <w:color w:val="auto"/>
          <w:sz w:val="22"/>
          <w:szCs w:val="22"/>
        </w:rPr>
        <w:t>O 3</w:t>
      </w:r>
      <w:r w:rsidRPr="00110C5C">
        <w:rPr>
          <w:rStyle w:val="Nenhum"/>
          <w:rFonts w:ascii="Arial" w:hAnsi="Arial" w:cs="Arial"/>
          <w:b/>
          <w:bCs/>
          <w:color w:val="auto"/>
          <w:sz w:val="22"/>
          <w:szCs w:val="22"/>
          <w:vertAlign w:val="superscript"/>
        </w:rPr>
        <w:t>o</w:t>
      </w:r>
      <w:r w:rsidRPr="00110C5C">
        <w:rPr>
          <w:rStyle w:val="Nenhum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110C5C">
        <w:rPr>
          <w:rFonts w:ascii="Arial" w:hAnsi="Arial" w:cs="Arial"/>
          <w:b/>
          <w:bCs/>
          <w:color w:val="auto"/>
          <w:sz w:val="22"/>
          <w:szCs w:val="22"/>
        </w:rPr>
        <w:t>Abrint</w:t>
      </w:r>
      <w:proofErr w:type="spellEnd"/>
      <w:r w:rsidRPr="00110C5C">
        <w:rPr>
          <w:rFonts w:ascii="Arial" w:hAnsi="Arial" w:cs="Arial"/>
          <w:b/>
          <w:bCs/>
          <w:color w:val="auto"/>
          <w:sz w:val="22"/>
          <w:szCs w:val="22"/>
        </w:rPr>
        <w:t xml:space="preserve"> (Associação Brasileira de Provedores de Internet e Telecomunicações) Nordeste acontecerá nos dias 5 e 6 de dezembro no Centro de Eventos do Ceará</w:t>
      </w:r>
      <w:r w:rsidR="00775ED7" w:rsidRPr="00110C5C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Pr="00110C5C">
        <w:rPr>
          <w:rFonts w:ascii="Arial" w:hAnsi="Arial" w:cs="Arial"/>
          <w:b/>
          <w:bCs/>
          <w:color w:val="auto"/>
          <w:sz w:val="22"/>
          <w:szCs w:val="22"/>
        </w:rPr>
        <w:t xml:space="preserve">Fortaleza. O estande da </w:t>
      </w:r>
      <w:proofErr w:type="spellStart"/>
      <w:r w:rsidRPr="00110C5C">
        <w:rPr>
          <w:rFonts w:ascii="Arial" w:hAnsi="Arial" w:cs="Arial"/>
          <w:b/>
          <w:bCs/>
          <w:color w:val="auto"/>
          <w:sz w:val="22"/>
          <w:szCs w:val="22"/>
        </w:rPr>
        <w:t>TechEnabler</w:t>
      </w:r>
      <w:proofErr w:type="spellEnd"/>
      <w:r w:rsidRPr="00110C5C">
        <w:rPr>
          <w:rFonts w:ascii="Arial" w:hAnsi="Arial" w:cs="Arial"/>
          <w:b/>
          <w:bCs/>
          <w:color w:val="auto"/>
          <w:sz w:val="22"/>
          <w:szCs w:val="22"/>
        </w:rPr>
        <w:t xml:space="preserve"> é o </w:t>
      </w:r>
      <w:r w:rsidR="00FC38BB" w:rsidRPr="00110C5C">
        <w:rPr>
          <w:rFonts w:ascii="Arial" w:hAnsi="Arial" w:cs="Arial"/>
          <w:b/>
          <w:bCs/>
          <w:color w:val="auto"/>
          <w:sz w:val="22"/>
          <w:szCs w:val="22"/>
        </w:rPr>
        <w:t xml:space="preserve">31 </w:t>
      </w:r>
      <w:r w:rsidR="005B6963" w:rsidRPr="00110C5C">
        <w:rPr>
          <w:rFonts w:ascii="Arial" w:hAnsi="Arial" w:cs="Arial"/>
          <w:b/>
          <w:bCs/>
          <w:color w:val="auto"/>
          <w:sz w:val="22"/>
          <w:szCs w:val="22"/>
        </w:rPr>
        <w:t>–</w:t>
      </w:r>
      <w:r w:rsidR="00FC38BB" w:rsidRPr="00110C5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B6963" w:rsidRPr="00110C5C">
        <w:rPr>
          <w:rFonts w:ascii="Arial" w:hAnsi="Arial" w:cs="Arial"/>
          <w:b/>
          <w:bCs/>
          <w:color w:val="auto"/>
          <w:sz w:val="22"/>
          <w:szCs w:val="22"/>
        </w:rPr>
        <w:t xml:space="preserve">Avenida </w:t>
      </w:r>
      <w:r w:rsidR="00210E7F" w:rsidRPr="00110C5C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5B6963" w:rsidRPr="00110C5C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110C5C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1508DC" w:rsidRPr="00110C5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13AA40D1" w14:textId="77777777" w:rsidR="001508DC" w:rsidRPr="00110C5C" w:rsidRDefault="001508DC" w:rsidP="00586766">
      <w:pPr>
        <w:pStyle w:val="Padro"/>
        <w:spacing w:before="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960F348" w14:textId="77777777" w:rsidR="00021DCE" w:rsidRPr="00110C5C" w:rsidRDefault="0059378B">
      <w:pPr>
        <w:pStyle w:val="Padro"/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 w:rsidRPr="00110C5C">
        <w:rPr>
          <w:rFonts w:ascii="Arial" w:hAnsi="Arial" w:cs="Arial"/>
          <w:b/>
          <w:bCs/>
          <w:sz w:val="22"/>
          <w:szCs w:val="22"/>
        </w:rPr>
        <w:t>Parceiros e produtos</w:t>
      </w:r>
    </w:p>
    <w:p w14:paraId="6761B6EB" w14:textId="77777777" w:rsidR="00021DCE" w:rsidRPr="00110C5C" w:rsidRDefault="00021DCE">
      <w:pPr>
        <w:pStyle w:val="Padro"/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2AB34431" w14:textId="0D384D5A" w:rsidR="00021DCE" w:rsidRPr="00110C5C" w:rsidRDefault="0059378B" w:rsidP="00586766">
      <w:pPr>
        <w:pStyle w:val="Padro"/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110C5C">
        <w:rPr>
          <w:rFonts w:ascii="Arial" w:hAnsi="Arial" w:cs="Arial"/>
          <w:sz w:val="22"/>
          <w:szCs w:val="22"/>
        </w:rPr>
        <w:t xml:space="preserve">Inaugurando parceria com a </w:t>
      </w:r>
      <w:hyperlink r:id="rId8" w:history="1">
        <w:proofErr w:type="spellStart"/>
        <w:r w:rsidRPr="00050555">
          <w:rPr>
            <w:rStyle w:val="Hyperlink"/>
            <w:rFonts w:ascii="Arial" w:hAnsi="Arial" w:cs="Arial"/>
            <w:color w:val="0070C0"/>
            <w:sz w:val="22"/>
            <w:szCs w:val="22"/>
          </w:rPr>
          <w:t>AVSystem</w:t>
        </w:r>
        <w:proofErr w:type="spellEnd"/>
      </w:hyperlink>
      <w:r w:rsidRPr="00110C5C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110C5C">
        <w:rPr>
          <w:rFonts w:ascii="Arial" w:hAnsi="Arial" w:cs="Arial"/>
          <w:sz w:val="22"/>
          <w:szCs w:val="22"/>
        </w:rPr>
        <w:t>Tec</w:t>
      </w:r>
      <w:r w:rsidR="00586766" w:rsidRPr="00110C5C">
        <w:rPr>
          <w:rFonts w:ascii="Arial" w:hAnsi="Arial" w:cs="Arial"/>
          <w:sz w:val="22"/>
          <w:szCs w:val="22"/>
        </w:rPr>
        <w:t>h</w:t>
      </w:r>
      <w:r w:rsidRPr="00110C5C">
        <w:rPr>
          <w:rFonts w:ascii="Arial" w:hAnsi="Arial" w:cs="Arial"/>
          <w:sz w:val="22"/>
          <w:szCs w:val="22"/>
        </w:rPr>
        <w:t>Enabler</w:t>
      </w:r>
      <w:proofErr w:type="spellEnd"/>
      <w:r w:rsidRPr="00110C5C">
        <w:rPr>
          <w:rFonts w:ascii="Arial" w:hAnsi="Arial" w:cs="Arial"/>
          <w:sz w:val="22"/>
          <w:szCs w:val="22"/>
        </w:rPr>
        <w:t xml:space="preserve"> mostrará ferramenta dessa empresa para o </w:t>
      </w:r>
      <w:r w:rsidRPr="00110C5C">
        <w:rPr>
          <w:rFonts w:ascii="Arial" w:hAnsi="Arial" w:cs="Arial"/>
          <w:color w:val="auto"/>
          <w:sz w:val="22"/>
          <w:szCs w:val="22"/>
        </w:rPr>
        <w:t xml:space="preserve">eficiente gerenciamento </w:t>
      </w:r>
      <w:r w:rsidRPr="00110C5C">
        <w:rPr>
          <w:rFonts w:ascii="Arial" w:hAnsi="Arial" w:cs="Arial"/>
          <w:sz w:val="22"/>
          <w:szCs w:val="22"/>
        </w:rPr>
        <w:t>remoto de dispositivos como modens, roteadores e gateways conectados à rede pelo protocolo TR69, cada vez mais utilizado no Brasil.</w:t>
      </w:r>
    </w:p>
    <w:p w14:paraId="3A4BD814" w14:textId="77777777" w:rsidR="00021DCE" w:rsidRPr="00110C5C" w:rsidRDefault="00021DCE" w:rsidP="00586766">
      <w:pPr>
        <w:pStyle w:val="Padro"/>
        <w:spacing w:before="0" w:line="360" w:lineRule="auto"/>
        <w:rPr>
          <w:rFonts w:ascii="Arial" w:eastAsia="Arial" w:hAnsi="Arial" w:cs="Arial"/>
          <w:sz w:val="22"/>
          <w:szCs w:val="22"/>
        </w:rPr>
      </w:pPr>
    </w:p>
    <w:p w14:paraId="0AAD4DA9" w14:textId="7F63E309" w:rsidR="00021DCE" w:rsidRPr="00110C5C" w:rsidRDefault="0059378B" w:rsidP="00586766">
      <w:pPr>
        <w:pStyle w:val="Padro"/>
        <w:spacing w:before="0" w:line="360" w:lineRule="auto"/>
        <w:rPr>
          <w:rStyle w:val="Nenhum"/>
          <w:rFonts w:ascii="Arial" w:eastAsia="Times New Roman" w:hAnsi="Arial" w:cs="Arial"/>
          <w:sz w:val="22"/>
          <w:szCs w:val="22"/>
        </w:rPr>
      </w:pPr>
      <w:r w:rsidRPr="00110C5C">
        <w:rPr>
          <w:rFonts w:ascii="Arial" w:hAnsi="Arial" w:cs="Arial"/>
          <w:sz w:val="22"/>
          <w:szCs w:val="22"/>
        </w:rPr>
        <w:t xml:space="preserve">Estarão também no estande da </w:t>
      </w:r>
      <w:proofErr w:type="spellStart"/>
      <w:r w:rsidRPr="00110C5C">
        <w:rPr>
          <w:rFonts w:ascii="Arial" w:hAnsi="Arial" w:cs="Arial"/>
          <w:sz w:val="22"/>
          <w:szCs w:val="22"/>
        </w:rPr>
        <w:t>TechEnabler</w:t>
      </w:r>
      <w:proofErr w:type="spellEnd"/>
      <w:r w:rsidRPr="00110C5C">
        <w:rPr>
          <w:rFonts w:ascii="Arial" w:hAnsi="Arial" w:cs="Arial"/>
          <w:sz w:val="22"/>
          <w:szCs w:val="22"/>
        </w:rPr>
        <w:t xml:space="preserve">, com lançamentos recentes, seus tradicionais parceiros </w:t>
      </w:r>
      <w:hyperlink r:id="rId9" w:history="1">
        <w:proofErr w:type="spellStart"/>
        <w:r w:rsidRPr="00050555">
          <w:rPr>
            <w:rStyle w:val="Hyperlink"/>
            <w:rFonts w:ascii="Arial" w:hAnsi="Arial" w:cs="Arial"/>
            <w:color w:val="0070C0"/>
            <w:sz w:val="22"/>
            <w:szCs w:val="22"/>
          </w:rPr>
          <w:t>Kentik</w:t>
        </w:r>
        <w:proofErr w:type="spellEnd"/>
      </w:hyperlink>
      <w:r w:rsidRPr="00110C5C">
        <w:rPr>
          <w:rFonts w:ascii="Arial" w:hAnsi="Arial" w:cs="Arial"/>
          <w:sz w:val="22"/>
          <w:szCs w:val="22"/>
        </w:rPr>
        <w:t xml:space="preserve"> e </w:t>
      </w:r>
      <w:hyperlink r:id="rId10" w:history="1">
        <w:proofErr w:type="spellStart"/>
        <w:r w:rsidRPr="00050555">
          <w:rPr>
            <w:rStyle w:val="Hyperlink"/>
            <w:rFonts w:ascii="Arial" w:hAnsi="Arial" w:cs="Arial"/>
            <w:color w:val="0070C0"/>
            <w:sz w:val="22"/>
            <w:szCs w:val="22"/>
          </w:rPr>
          <w:t>Corero</w:t>
        </w:r>
        <w:proofErr w:type="spellEnd"/>
      </w:hyperlink>
      <w:r w:rsidRPr="00110C5C">
        <w:rPr>
          <w:rFonts w:ascii="Arial" w:hAnsi="Arial" w:cs="Arial"/>
          <w:sz w:val="22"/>
          <w:szCs w:val="22"/>
        </w:rPr>
        <w:t xml:space="preserve">, </w:t>
      </w:r>
      <w:r w:rsidR="00586766" w:rsidRPr="00110C5C">
        <w:rPr>
          <w:rFonts w:ascii="Arial" w:hAnsi="Arial" w:cs="Arial"/>
          <w:sz w:val="22"/>
          <w:szCs w:val="22"/>
        </w:rPr>
        <w:t>especializados</w:t>
      </w:r>
      <w:r w:rsidRPr="00110C5C">
        <w:rPr>
          <w:rFonts w:ascii="Arial" w:hAnsi="Arial" w:cs="Arial"/>
          <w:sz w:val="22"/>
          <w:szCs w:val="22"/>
        </w:rPr>
        <w:t xml:space="preserve">, respectivamente, em </w:t>
      </w:r>
      <w:proofErr w:type="spellStart"/>
      <w:r w:rsidRPr="00110C5C">
        <w:rPr>
          <w:rFonts w:ascii="Arial" w:hAnsi="Arial" w:cs="Arial"/>
          <w:sz w:val="22"/>
          <w:szCs w:val="22"/>
        </w:rPr>
        <w:t>observabilidade</w:t>
      </w:r>
      <w:proofErr w:type="spellEnd"/>
      <w:r w:rsidRPr="00110C5C">
        <w:rPr>
          <w:rFonts w:ascii="Arial" w:hAnsi="Arial" w:cs="Arial"/>
          <w:sz w:val="22"/>
          <w:szCs w:val="22"/>
        </w:rPr>
        <w:t xml:space="preserve"> e proteção de redes contra ataques de negação de serviço </w:t>
      </w:r>
      <w:r w:rsidR="00137F42" w:rsidRPr="00110C5C">
        <w:rPr>
          <w:rFonts w:ascii="Arial" w:hAnsi="Arial" w:cs="Arial"/>
          <w:sz w:val="22"/>
          <w:szCs w:val="22"/>
        </w:rPr>
        <w:t>–</w:t>
      </w:r>
      <w:r w:rsidRPr="00110C5C">
        <w:rPr>
          <w:rFonts w:ascii="Arial" w:hAnsi="Arial" w:cs="Arial"/>
          <w:sz w:val="22"/>
          <w:szCs w:val="22"/>
        </w:rPr>
        <w:t xml:space="preserve"> </w:t>
      </w:r>
      <w:r w:rsidR="00137F42" w:rsidRPr="00110C5C">
        <w:rPr>
          <w:rFonts w:ascii="Arial" w:hAnsi="Arial" w:cs="Arial"/>
          <w:sz w:val="22"/>
          <w:szCs w:val="22"/>
        </w:rPr>
        <w:t xml:space="preserve">os ataques </w:t>
      </w:r>
      <w:proofErr w:type="spellStart"/>
      <w:r w:rsidR="00137F42" w:rsidRPr="00110C5C">
        <w:rPr>
          <w:rFonts w:ascii="Arial" w:hAnsi="Arial" w:cs="Arial"/>
          <w:sz w:val="22"/>
          <w:szCs w:val="22"/>
        </w:rPr>
        <w:t>DDoS</w:t>
      </w:r>
      <w:proofErr w:type="spellEnd"/>
      <w:r w:rsidR="001233A6" w:rsidRPr="00110C5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1233A6" w:rsidRPr="00110C5C">
        <w:rPr>
          <w:rFonts w:ascii="Arial" w:hAnsi="Arial" w:cs="Arial"/>
          <w:sz w:val="22"/>
          <w:szCs w:val="22"/>
        </w:rPr>
        <w:t>Distributed</w:t>
      </w:r>
      <w:proofErr w:type="spellEnd"/>
      <w:r w:rsidR="001233A6" w:rsidRPr="00110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33A6" w:rsidRPr="00110C5C">
        <w:rPr>
          <w:rFonts w:ascii="Arial" w:hAnsi="Arial" w:cs="Arial"/>
          <w:sz w:val="22"/>
          <w:szCs w:val="22"/>
        </w:rPr>
        <w:t>Denial</w:t>
      </w:r>
      <w:proofErr w:type="spellEnd"/>
      <w:r w:rsidR="001233A6" w:rsidRPr="00110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33A6" w:rsidRPr="00110C5C">
        <w:rPr>
          <w:rFonts w:ascii="Arial" w:hAnsi="Arial" w:cs="Arial"/>
          <w:sz w:val="22"/>
          <w:szCs w:val="22"/>
        </w:rPr>
        <w:t>of</w:t>
      </w:r>
      <w:proofErr w:type="spellEnd"/>
      <w:r w:rsidR="001233A6" w:rsidRPr="00110C5C">
        <w:rPr>
          <w:rFonts w:ascii="Arial" w:hAnsi="Arial" w:cs="Arial"/>
          <w:sz w:val="22"/>
          <w:szCs w:val="22"/>
        </w:rPr>
        <w:t xml:space="preserve"> Service na sigla em inglês).</w:t>
      </w:r>
    </w:p>
    <w:p w14:paraId="3589106E" w14:textId="77777777" w:rsidR="00021DCE" w:rsidRPr="00110C5C" w:rsidRDefault="0059378B" w:rsidP="00586766">
      <w:pPr>
        <w:pStyle w:val="Padro"/>
        <w:spacing w:before="0" w:line="360" w:lineRule="auto"/>
        <w:rPr>
          <w:rStyle w:val="Nenhum"/>
          <w:rFonts w:ascii="Arial" w:eastAsia="Times New Roman" w:hAnsi="Arial" w:cs="Arial"/>
          <w:sz w:val="22"/>
          <w:szCs w:val="22"/>
        </w:rPr>
      </w:pPr>
      <w:r w:rsidRPr="00110C5C">
        <w:rPr>
          <w:rFonts w:ascii="Arial" w:hAnsi="Arial" w:cs="Arial"/>
          <w:sz w:val="22"/>
          <w:szCs w:val="22"/>
        </w:rPr>
        <w:t> </w:t>
      </w:r>
    </w:p>
    <w:p w14:paraId="6648231A" w14:textId="167D213D" w:rsidR="00021DCE" w:rsidRPr="00110C5C" w:rsidRDefault="0059378B" w:rsidP="00586766">
      <w:pPr>
        <w:pStyle w:val="Padro"/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110C5C">
        <w:rPr>
          <w:rStyle w:val="Nenhum"/>
          <w:rFonts w:ascii="Arial" w:hAnsi="Arial" w:cs="Arial"/>
          <w:sz w:val="22"/>
          <w:szCs w:val="22"/>
        </w:rPr>
        <w:t xml:space="preserve">Estará em </w:t>
      </w:r>
      <w:r w:rsidRPr="00110C5C">
        <w:rPr>
          <w:rFonts w:ascii="Arial" w:hAnsi="Arial" w:cs="Arial"/>
          <w:sz w:val="22"/>
          <w:szCs w:val="22"/>
        </w:rPr>
        <w:t xml:space="preserve">demonstração a nova ferramenta NMS (Network </w:t>
      </w:r>
      <w:proofErr w:type="spellStart"/>
      <w:r w:rsidRPr="00110C5C">
        <w:rPr>
          <w:rStyle w:val="Nenhum"/>
          <w:rFonts w:ascii="Arial" w:hAnsi="Arial" w:cs="Arial"/>
          <w:color w:val="auto"/>
          <w:sz w:val="22"/>
          <w:szCs w:val="22"/>
        </w:rPr>
        <w:t>M</w:t>
      </w:r>
      <w:r w:rsidR="00A74D38" w:rsidRPr="00110C5C">
        <w:rPr>
          <w:rStyle w:val="Nenhum"/>
          <w:rFonts w:ascii="Arial" w:hAnsi="Arial" w:cs="Arial"/>
          <w:color w:val="auto"/>
          <w:sz w:val="22"/>
          <w:szCs w:val="22"/>
        </w:rPr>
        <w:t>onitoring</w:t>
      </w:r>
      <w:proofErr w:type="spellEnd"/>
      <w:r w:rsidRPr="00110C5C">
        <w:rPr>
          <w:rStyle w:val="Nenhum"/>
          <w:rFonts w:ascii="Arial" w:hAnsi="Arial" w:cs="Arial"/>
          <w:color w:val="FF0000"/>
          <w:sz w:val="22"/>
          <w:szCs w:val="22"/>
        </w:rPr>
        <w:t xml:space="preserve"> </w:t>
      </w:r>
      <w:r w:rsidRPr="00110C5C">
        <w:rPr>
          <w:rFonts w:ascii="Arial" w:hAnsi="Arial" w:cs="Arial"/>
          <w:sz w:val="22"/>
          <w:szCs w:val="22"/>
        </w:rPr>
        <w:t>System</w:t>
      </w:r>
      <w:r w:rsidRPr="00110C5C">
        <w:rPr>
          <w:rStyle w:val="Nenhum"/>
          <w:rFonts w:ascii="Arial" w:hAnsi="Arial" w:cs="Arial"/>
          <w:b/>
          <w:bCs/>
          <w:sz w:val="22"/>
          <w:szCs w:val="22"/>
        </w:rPr>
        <w:t>),</w:t>
      </w:r>
      <w:r w:rsidRPr="00110C5C">
        <w:rPr>
          <w:rFonts w:ascii="Arial" w:hAnsi="Arial" w:cs="Arial"/>
          <w:sz w:val="22"/>
          <w:szCs w:val="22"/>
        </w:rPr>
        <w:t xml:space="preserve"> módulo recentemente integrado à plataforma </w:t>
      </w:r>
      <w:proofErr w:type="spellStart"/>
      <w:r w:rsidRPr="00110C5C">
        <w:rPr>
          <w:rFonts w:ascii="Arial" w:hAnsi="Arial" w:cs="Arial"/>
          <w:sz w:val="22"/>
          <w:szCs w:val="22"/>
        </w:rPr>
        <w:t>Kentik</w:t>
      </w:r>
      <w:proofErr w:type="spellEnd"/>
      <w:r w:rsidRPr="00110C5C">
        <w:rPr>
          <w:rFonts w:ascii="Arial" w:hAnsi="Arial" w:cs="Arial"/>
          <w:sz w:val="22"/>
          <w:szCs w:val="22"/>
        </w:rPr>
        <w:t>, que passa a fornecer também dados passivos do comportamento de diversos aspectos da infraestrutura de TI da rede de telecomunicações (servidores, máquinas virtuais, serviços em nuvem</w:t>
      </w:r>
      <w:r w:rsidR="00586766" w:rsidRPr="00110C5C">
        <w:rPr>
          <w:rFonts w:ascii="Arial" w:hAnsi="Arial" w:cs="Arial"/>
          <w:sz w:val="22"/>
          <w:szCs w:val="22"/>
        </w:rPr>
        <w:t>,</w:t>
      </w:r>
      <w:r w:rsidRPr="00110C5C">
        <w:rPr>
          <w:rFonts w:ascii="Arial" w:hAnsi="Arial" w:cs="Arial"/>
          <w:sz w:val="22"/>
          <w:szCs w:val="22"/>
        </w:rPr>
        <w:t xml:space="preserve"> por exemplo). A vantagem: tornam-se </w:t>
      </w:r>
      <w:r w:rsidRPr="00110C5C">
        <w:rPr>
          <w:rFonts w:ascii="Arial" w:hAnsi="Arial" w:cs="Arial"/>
          <w:sz w:val="22"/>
          <w:szCs w:val="22"/>
        </w:rPr>
        <w:lastRenderedPageBreak/>
        <w:t>desnecessári</w:t>
      </w:r>
      <w:r w:rsidR="00A74D38" w:rsidRPr="00110C5C">
        <w:rPr>
          <w:rFonts w:ascii="Arial" w:hAnsi="Arial" w:cs="Arial"/>
          <w:sz w:val="22"/>
          <w:szCs w:val="22"/>
        </w:rPr>
        <w:t>o</w:t>
      </w:r>
      <w:r w:rsidRPr="00110C5C">
        <w:rPr>
          <w:rFonts w:ascii="Arial" w:hAnsi="Arial" w:cs="Arial"/>
          <w:sz w:val="22"/>
          <w:szCs w:val="22"/>
        </w:rPr>
        <w:t xml:space="preserve">s softwares específicos, pois essas informações se incorporam à plataforma </w:t>
      </w:r>
      <w:proofErr w:type="spellStart"/>
      <w:r w:rsidRPr="00110C5C">
        <w:rPr>
          <w:rFonts w:ascii="Arial" w:hAnsi="Arial" w:cs="Arial"/>
          <w:sz w:val="22"/>
          <w:szCs w:val="22"/>
        </w:rPr>
        <w:t>Kentik</w:t>
      </w:r>
      <w:proofErr w:type="spellEnd"/>
      <w:r w:rsidRPr="00110C5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10C5C">
        <w:rPr>
          <w:rFonts w:ascii="Arial" w:hAnsi="Arial" w:cs="Arial"/>
          <w:sz w:val="22"/>
          <w:szCs w:val="22"/>
        </w:rPr>
        <w:t>observabilidade</w:t>
      </w:r>
      <w:proofErr w:type="spellEnd"/>
      <w:r w:rsidRPr="00110C5C">
        <w:rPr>
          <w:rFonts w:ascii="Arial" w:hAnsi="Arial" w:cs="Arial"/>
          <w:sz w:val="22"/>
          <w:szCs w:val="22"/>
        </w:rPr>
        <w:t>.</w:t>
      </w:r>
    </w:p>
    <w:p w14:paraId="672AD0D5" w14:textId="77777777" w:rsidR="00C95F29" w:rsidRPr="00110C5C" w:rsidRDefault="00C95F29" w:rsidP="00586766">
      <w:pPr>
        <w:pStyle w:val="Padro"/>
        <w:spacing w:before="0" w:line="360" w:lineRule="auto"/>
        <w:rPr>
          <w:rFonts w:ascii="Arial" w:hAnsi="Arial" w:cs="Arial"/>
          <w:sz w:val="22"/>
          <w:szCs w:val="22"/>
        </w:rPr>
      </w:pPr>
    </w:p>
    <w:p w14:paraId="1B6EAFC5" w14:textId="2E755AD8" w:rsidR="00021DCE" w:rsidRPr="00110C5C" w:rsidRDefault="0059378B" w:rsidP="00586766">
      <w:pPr>
        <w:pStyle w:val="Padro"/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110C5C">
        <w:rPr>
          <w:rFonts w:ascii="Arial" w:hAnsi="Arial" w:cs="Arial"/>
          <w:sz w:val="22"/>
          <w:szCs w:val="22"/>
        </w:rPr>
        <w:t xml:space="preserve">Da </w:t>
      </w:r>
      <w:proofErr w:type="spellStart"/>
      <w:r w:rsidRPr="00110C5C">
        <w:rPr>
          <w:rFonts w:ascii="Arial" w:hAnsi="Arial" w:cs="Arial"/>
          <w:sz w:val="22"/>
          <w:szCs w:val="22"/>
        </w:rPr>
        <w:t>Corero</w:t>
      </w:r>
      <w:proofErr w:type="spellEnd"/>
      <w:r w:rsidRPr="00110C5C">
        <w:rPr>
          <w:rFonts w:ascii="Arial" w:hAnsi="Arial" w:cs="Arial"/>
          <w:sz w:val="22"/>
          <w:szCs w:val="22"/>
        </w:rPr>
        <w:t>, será d</w:t>
      </w:r>
      <w:r w:rsidR="00586766" w:rsidRPr="00110C5C">
        <w:rPr>
          <w:rFonts w:ascii="Arial" w:hAnsi="Arial" w:cs="Arial"/>
          <w:sz w:val="22"/>
          <w:szCs w:val="22"/>
        </w:rPr>
        <w:t>e</w:t>
      </w:r>
      <w:r w:rsidRPr="00110C5C">
        <w:rPr>
          <w:rFonts w:ascii="Arial" w:hAnsi="Arial" w:cs="Arial"/>
          <w:sz w:val="22"/>
          <w:szCs w:val="22"/>
        </w:rPr>
        <w:t xml:space="preserve">stacado no estande o 400G, novo equipamento que permitirá </w:t>
      </w:r>
      <w:r w:rsidR="00586766" w:rsidRPr="00110C5C">
        <w:rPr>
          <w:rFonts w:ascii="Arial" w:hAnsi="Arial" w:cs="Arial"/>
          <w:sz w:val="22"/>
          <w:szCs w:val="22"/>
        </w:rPr>
        <w:t xml:space="preserve">à </w:t>
      </w:r>
      <w:proofErr w:type="spellStart"/>
      <w:r w:rsidRPr="00110C5C">
        <w:rPr>
          <w:rFonts w:ascii="Arial" w:hAnsi="Arial" w:cs="Arial"/>
          <w:sz w:val="22"/>
          <w:szCs w:val="22"/>
        </w:rPr>
        <w:t>TechEnabler</w:t>
      </w:r>
      <w:proofErr w:type="spellEnd"/>
      <w:r w:rsidRPr="00110C5C">
        <w:rPr>
          <w:rFonts w:ascii="Arial" w:hAnsi="Arial" w:cs="Arial"/>
          <w:sz w:val="22"/>
          <w:szCs w:val="22"/>
        </w:rPr>
        <w:t xml:space="preserve"> elevar o patamar de seus serviços de proteção a redes de alto desemp</w:t>
      </w:r>
      <w:r w:rsidR="00586766" w:rsidRPr="00110C5C">
        <w:rPr>
          <w:rFonts w:ascii="Arial" w:hAnsi="Arial" w:cs="Arial"/>
          <w:sz w:val="22"/>
          <w:szCs w:val="22"/>
        </w:rPr>
        <w:t>e</w:t>
      </w:r>
      <w:r w:rsidRPr="00110C5C">
        <w:rPr>
          <w:rFonts w:ascii="Arial" w:hAnsi="Arial" w:cs="Arial"/>
          <w:sz w:val="22"/>
          <w:szCs w:val="22"/>
        </w:rPr>
        <w:t xml:space="preserve">nho contra os ataques </w:t>
      </w:r>
      <w:proofErr w:type="spellStart"/>
      <w:r w:rsidRPr="00110C5C">
        <w:rPr>
          <w:rFonts w:ascii="Arial" w:hAnsi="Arial" w:cs="Arial"/>
          <w:sz w:val="22"/>
          <w:szCs w:val="22"/>
        </w:rPr>
        <w:t>DDoS</w:t>
      </w:r>
      <w:proofErr w:type="spellEnd"/>
      <w:r w:rsidRPr="00110C5C">
        <w:rPr>
          <w:rFonts w:ascii="Arial" w:hAnsi="Arial" w:cs="Arial"/>
          <w:sz w:val="22"/>
          <w:szCs w:val="22"/>
        </w:rPr>
        <w:t>, com redução nos custos de tecnologia e de energia.</w:t>
      </w:r>
    </w:p>
    <w:p w14:paraId="0059D962" w14:textId="77777777" w:rsidR="00021DCE" w:rsidRPr="00110C5C" w:rsidRDefault="00021DCE" w:rsidP="00586766">
      <w:pPr>
        <w:pStyle w:val="Padro"/>
        <w:spacing w:before="0" w:line="360" w:lineRule="auto"/>
        <w:rPr>
          <w:rFonts w:ascii="Arial" w:eastAsia="Arial" w:hAnsi="Arial" w:cs="Arial"/>
          <w:sz w:val="22"/>
          <w:szCs w:val="22"/>
        </w:rPr>
      </w:pPr>
    </w:p>
    <w:p w14:paraId="11F53CA7" w14:textId="709A5657" w:rsidR="00021DCE" w:rsidRPr="00110C5C" w:rsidRDefault="0059378B" w:rsidP="00586766">
      <w:pPr>
        <w:pStyle w:val="Padro"/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110C5C">
        <w:rPr>
          <w:rFonts w:ascii="Arial" w:hAnsi="Arial" w:cs="Arial"/>
          <w:sz w:val="22"/>
          <w:szCs w:val="22"/>
        </w:rPr>
        <w:t xml:space="preserve">Isso porque com a transmissão de dados a uma taxa de 400 Gigabits por segundo em uma rede </w:t>
      </w:r>
      <w:r w:rsidR="00586766" w:rsidRPr="00110C5C">
        <w:rPr>
          <w:rFonts w:ascii="Arial" w:hAnsi="Arial" w:cs="Arial"/>
          <w:sz w:val="22"/>
          <w:szCs w:val="22"/>
        </w:rPr>
        <w:t>ó</w:t>
      </w:r>
      <w:r w:rsidRPr="00110C5C">
        <w:rPr>
          <w:rFonts w:ascii="Arial" w:hAnsi="Arial" w:cs="Arial"/>
          <w:sz w:val="22"/>
          <w:szCs w:val="22"/>
        </w:rPr>
        <w:t xml:space="preserve">ptica, a </w:t>
      </w:r>
      <w:proofErr w:type="spellStart"/>
      <w:r w:rsidRPr="00110C5C">
        <w:rPr>
          <w:rFonts w:ascii="Arial" w:hAnsi="Arial" w:cs="Arial"/>
          <w:sz w:val="22"/>
          <w:szCs w:val="22"/>
        </w:rPr>
        <w:t>TechEn</w:t>
      </w:r>
      <w:r w:rsidR="00586766" w:rsidRPr="00110C5C">
        <w:rPr>
          <w:rFonts w:ascii="Arial" w:hAnsi="Arial" w:cs="Arial"/>
          <w:sz w:val="22"/>
          <w:szCs w:val="22"/>
        </w:rPr>
        <w:t>a</w:t>
      </w:r>
      <w:r w:rsidRPr="00110C5C">
        <w:rPr>
          <w:rFonts w:ascii="Arial" w:hAnsi="Arial" w:cs="Arial"/>
          <w:sz w:val="22"/>
          <w:szCs w:val="22"/>
        </w:rPr>
        <w:t>bler</w:t>
      </w:r>
      <w:proofErr w:type="spellEnd"/>
      <w:r w:rsidRPr="00110C5C">
        <w:rPr>
          <w:rFonts w:ascii="Arial" w:hAnsi="Arial" w:cs="Arial"/>
          <w:sz w:val="22"/>
          <w:szCs w:val="22"/>
        </w:rPr>
        <w:t xml:space="preserve"> poderá atender com mais agilidade a clientes possuidores de redes extensas e de alto desempenho (necess</w:t>
      </w:r>
      <w:r w:rsidR="00586766" w:rsidRPr="00110C5C">
        <w:rPr>
          <w:rFonts w:ascii="Arial" w:hAnsi="Arial" w:cs="Arial"/>
          <w:sz w:val="22"/>
          <w:szCs w:val="22"/>
        </w:rPr>
        <w:t>á</w:t>
      </w:r>
      <w:r w:rsidRPr="00110C5C">
        <w:rPr>
          <w:rFonts w:ascii="Arial" w:hAnsi="Arial" w:cs="Arial"/>
          <w:sz w:val="22"/>
          <w:szCs w:val="22"/>
        </w:rPr>
        <w:t xml:space="preserve">rias para grandes volumes de dados, como cloud </w:t>
      </w:r>
      <w:proofErr w:type="spellStart"/>
      <w:r w:rsidRPr="00110C5C">
        <w:rPr>
          <w:rFonts w:ascii="Arial" w:hAnsi="Arial" w:cs="Arial"/>
          <w:sz w:val="22"/>
          <w:szCs w:val="22"/>
        </w:rPr>
        <w:t>computing</w:t>
      </w:r>
      <w:proofErr w:type="spellEnd"/>
      <w:r w:rsidRPr="00110C5C">
        <w:rPr>
          <w:rFonts w:ascii="Arial" w:hAnsi="Arial" w:cs="Arial"/>
          <w:sz w:val="22"/>
          <w:szCs w:val="22"/>
        </w:rPr>
        <w:t xml:space="preserve"> e IoT) do que com os equipamentos anteriores, com capacidade de 100 e 200 Gigabits por segundo, exigindo maior n</w:t>
      </w:r>
      <w:r w:rsidR="00586766" w:rsidRPr="00110C5C">
        <w:rPr>
          <w:rFonts w:ascii="Arial" w:hAnsi="Arial" w:cs="Arial"/>
          <w:sz w:val="22"/>
          <w:szCs w:val="22"/>
        </w:rPr>
        <w:t>ú</w:t>
      </w:r>
      <w:r w:rsidRPr="00110C5C">
        <w:rPr>
          <w:rFonts w:ascii="Arial" w:hAnsi="Arial" w:cs="Arial"/>
          <w:sz w:val="22"/>
          <w:szCs w:val="22"/>
        </w:rPr>
        <w:t>mero de intercone</w:t>
      </w:r>
      <w:r w:rsidR="00586766" w:rsidRPr="00110C5C">
        <w:rPr>
          <w:rFonts w:ascii="Arial" w:hAnsi="Arial" w:cs="Arial"/>
          <w:sz w:val="22"/>
          <w:szCs w:val="22"/>
        </w:rPr>
        <w:t>xõ</w:t>
      </w:r>
      <w:r w:rsidRPr="00110C5C">
        <w:rPr>
          <w:rFonts w:ascii="Arial" w:hAnsi="Arial" w:cs="Arial"/>
          <w:sz w:val="22"/>
          <w:szCs w:val="22"/>
        </w:rPr>
        <w:t>es para a proteção da rede</w:t>
      </w:r>
      <w:r w:rsidR="00C95F29" w:rsidRPr="00110C5C">
        <w:rPr>
          <w:rFonts w:ascii="Arial" w:hAnsi="Arial" w:cs="Arial"/>
          <w:sz w:val="22"/>
          <w:szCs w:val="22"/>
        </w:rPr>
        <w:t>s</w:t>
      </w:r>
      <w:r w:rsidRPr="00110C5C">
        <w:rPr>
          <w:rFonts w:ascii="Arial" w:hAnsi="Arial" w:cs="Arial"/>
          <w:sz w:val="22"/>
          <w:szCs w:val="22"/>
        </w:rPr>
        <w:t xml:space="preserve"> empresariais ou de </w:t>
      </w:r>
      <w:proofErr w:type="spellStart"/>
      <w:r w:rsidRPr="00110C5C">
        <w:rPr>
          <w:rFonts w:ascii="Arial" w:hAnsi="Arial" w:cs="Arial"/>
          <w:sz w:val="22"/>
          <w:szCs w:val="22"/>
        </w:rPr>
        <w:t>ISVs</w:t>
      </w:r>
      <w:proofErr w:type="spellEnd"/>
      <w:r w:rsidRPr="00110C5C">
        <w:rPr>
          <w:rFonts w:ascii="Arial" w:hAnsi="Arial" w:cs="Arial"/>
          <w:sz w:val="22"/>
          <w:szCs w:val="22"/>
        </w:rPr>
        <w:t xml:space="preserve"> (Internet Service </w:t>
      </w:r>
      <w:proofErr w:type="spellStart"/>
      <w:r w:rsidRPr="00110C5C">
        <w:rPr>
          <w:rFonts w:ascii="Arial" w:hAnsi="Arial" w:cs="Arial"/>
          <w:sz w:val="22"/>
          <w:szCs w:val="22"/>
        </w:rPr>
        <w:t>Providers</w:t>
      </w:r>
      <w:proofErr w:type="spellEnd"/>
      <w:r w:rsidRPr="00110C5C">
        <w:rPr>
          <w:rFonts w:ascii="Arial" w:hAnsi="Arial" w:cs="Arial"/>
          <w:sz w:val="22"/>
          <w:szCs w:val="22"/>
        </w:rPr>
        <w:t>) contra ataques maliciosos.</w:t>
      </w:r>
    </w:p>
    <w:p w14:paraId="0824810E" w14:textId="77777777" w:rsidR="00021DCE" w:rsidRPr="00110C5C" w:rsidRDefault="00021DCE" w:rsidP="00586766">
      <w:pPr>
        <w:pStyle w:val="Padro"/>
        <w:spacing w:before="0" w:line="360" w:lineRule="auto"/>
        <w:rPr>
          <w:rFonts w:ascii="Arial" w:eastAsia="Arial" w:hAnsi="Arial" w:cs="Arial"/>
          <w:sz w:val="22"/>
          <w:szCs w:val="22"/>
        </w:rPr>
      </w:pPr>
    </w:p>
    <w:p w14:paraId="37993F90" w14:textId="53CAAD31" w:rsidR="00021DCE" w:rsidRPr="00110C5C" w:rsidRDefault="003614FD" w:rsidP="00586766">
      <w:pPr>
        <w:pStyle w:val="Padro"/>
        <w:spacing w:before="0" w:line="360" w:lineRule="auto"/>
        <w:rPr>
          <w:rFonts w:ascii="Arial" w:hAnsi="Arial" w:cs="Arial"/>
          <w:sz w:val="22"/>
          <w:szCs w:val="22"/>
        </w:rPr>
      </w:pPr>
      <w:r w:rsidRPr="00110C5C">
        <w:rPr>
          <w:rFonts w:ascii="Arial" w:hAnsi="Arial" w:cs="Arial"/>
          <w:sz w:val="22"/>
          <w:szCs w:val="22"/>
        </w:rPr>
        <w:t>Álvaro Aquino</w:t>
      </w:r>
      <w:r w:rsidR="003440D3" w:rsidRPr="00110C5C">
        <w:rPr>
          <w:rFonts w:ascii="Arial" w:hAnsi="Arial" w:cs="Arial"/>
          <w:sz w:val="22"/>
          <w:szCs w:val="22"/>
        </w:rPr>
        <w:t xml:space="preserve"> </w:t>
      </w:r>
      <w:r w:rsidRPr="00110C5C">
        <w:rPr>
          <w:rFonts w:ascii="Arial" w:hAnsi="Arial" w:cs="Arial"/>
          <w:sz w:val="22"/>
          <w:szCs w:val="22"/>
        </w:rPr>
        <w:t xml:space="preserve">comenta que “a </w:t>
      </w:r>
      <w:proofErr w:type="spellStart"/>
      <w:r w:rsidRPr="00110C5C">
        <w:rPr>
          <w:rFonts w:ascii="Arial" w:hAnsi="Arial" w:cs="Arial"/>
          <w:sz w:val="22"/>
          <w:szCs w:val="22"/>
        </w:rPr>
        <w:t>TechEnabler</w:t>
      </w:r>
      <w:proofErr w:type="spellEnd"/>
      <w:r w:rsidRPr="00110C5C">
        <w:rPr>
          <w:rFonts w:ascii="Arial" w:hAnsi="Arial" w:cs="Arial"/>
          <w:sz w:val="22"/>
          <w:szCs w:val="22"/>
        </w:rPr>
        <w:t xml:space="preserve"> estende seu portf</w:t>
      </w:r>
      <w:r w:rsidR="00586766" w:rsidRPr="00110C5C">
        <w:rPr>
          <w:rFonts w:ascii="Arial" w:hAnsi="Arial" w:cs="Arial"/>
          <w:sz w:val="22"/>
          <w:szCs w:val="22"/>
        </w:rPr>
        <w:t>ó</w:t>
      </w:r>
      <w:r w:rsidRPr="00110C5C">
        <w:rPr>
          <w:rFonts w:ascii="Arial" w:hAnsi="Arial" w:cs="Arial"/>
          <w:sz w:val="22"/>
          <w:szCs w:val="22"/>
        </w:rPr>
        <w:t>lio</w:t>
      </w:r>
      <w:r w:rsidR="00586766" w:rsidRPr="00110C5C">
        <w:rPr>
          <w:rFonts w:ascii="Arial" w:hAnsi="Arial" w:cs="Arial"/>
          <w:sz w:val="22"/>
          <w:szCs w:val="22"/>
        </w:rPr>
        <w:t xml:space="preserve"> </w:t>
      </w:r>
      <w:r w:rsidRPr="00110C5C">
        <w:rPr>
          <w:rFonts w:ascii="Arial" w:hAnsi="Arial" w:cs="Arial"/>
          <w:sz w:val="22"/>
          <w:szCs w:val="22"/>
        </w:rPr>
        <w:t>de produtos e serviços para melhor atender ao mercado brasil</w:t>
      </w:r>
      <w:r w:rsidR="00586766" w:rsidRPr="00110C5C">
        <w:rPr>
          <w:rFonts w:ascii="Arial" w:hAnsi="Arial" w:cs="Arial"/>
          <w:sz w:val="22"/>
          <w:szCs w:val="22"/>
        </w:rPr>
        <w:t>ei</w:t>
      </w:r>
      <w:r w:rsidRPr="00110C5C">
        <w:rPr>
          <w:rFonts w:ascii="Arial" w:hAnsi="Arial" w:cs="Arial"/>
          <w:sz w:val="22"/>
          <w:szCs w:val="22"/>
        </w:rPr>
        <w:t xml:space="preserve">ro com a melhor tecnologia global para </w:t>
      </w:r>
      <w:proofErr w:type="spellStart"/>
      <w:r w:rsidRPr="00110C5C">
        <w:rPr>
          <w:rFonts w:ascii="Arial" w:hAnsi="Arial" w:cs="Arial"/>
          <w:sz w:val="22"/>
          <w:szCs w:val="22"/>
        </w:rPr>
        <w:t>observabilidade</w:t>
      </w:r>
      <w:proofErr w:type="spellEnd"/>
      <w:r w:rsidRPr="00110C5C">
        <w:rPr>
          <w:rFonts w:ascii="Arial" w:hAnsi="Arial" w:cs="Arial"/>
          <w:sz w:val="22"/>
          <w:szCs w:val="22"/>
        </w:rPr>
        <w:t xml:space="preserve"> e segurança de redes”.</w:t>
      </w:r>
    </w:p>
    <w:p w14:paraId="4C7E6978" w14:textId="77777777" w:rsidR="00FA5C31" w:rsidRPr="003440D3" w:rsidRDefault="00FA5C31" w:rsidP="00586766">
      <w:pPr>
        <w:pStyle w:val="Padro"/>
        <w:spacing w:before="0" w:line="360" w:lineRule="auto"/>
        <w:rPr>
          <w:rFonts w:ascii="Arial" w:hAnsi="Arial" w:cs="Arial"/>
        </w:rPr>
      </w:pPr>
    </w:p>
    <w:p w14:paraId="2EDA070F" w14:textId="77777777" w:rsidR="00586766" w:rsidRPr="003440D3" w:rsidRDefault="00586766" w:rsidP="00586766">
      <w:pPr>
        <w:pStyle w:val="Padro"/>
        <w:spacing w:before="0" w:line="240" w:lineRule="auto"/>
        <w:rPr>
          <w:rFonts w:ascii="Arial" w:hAnsi="Arial" w:cs="Arial"/>
          <w:b/>
          <w:bCs/>
          <w:sz w:val="20"/>
          <w:szCs w:val="20"/>
        </w:rPr>
      </w:pPr>
      <w:r w:rsidRPr="003440D3">
        <w:rPr>
          <w:rFonts w:ascii="Arial" w:hAnsi="Arial" w:cs="Arial"/>
          <w:b/>
          <w:bCs/>
          <w:sz w:val="20"/>
          <w:szCs w:val="20"/>
        </w:rPr>
        <w:t xml:space="preserve">Sobre a </w:t>
      </w:r>
      <w:proofErr w:type="spellStart"/>
      <w:r w:rsidRPr="003440D3">
        <w:rPr>
          <w:rFonts w:ascii="Arial" w:hAnsi="Arial" w:cs="Arial"/>
          <w:b/>
          <w:bCs/>
          <w:sz w:val="20"/>
          <w:szCs w:val="20"/>
        </w:rPr>
        <w:t>TechEnabler</w:t>
      </w:r>
      <w:proofErr w:type="spellEnd"/>
    </w:p>
    <w:p w14:paraId="56ADF9FD" w14:textId="6A7B581F" w:rsidR="00586766" w:rsidRPr="003440D3" w:rsidRDefault="00586766" w:rsidP="00586766">
      <w:pPr>
        <w:pStyle w:val="Padro"/>
        <w:spacing w:before="0" w:line="240" w:lineRule="auto"/>
        <w:rPr>
          <w:rFonts w:ascii="Arial" w:hAnsi="Arial" w:cs="Arial"/>
          <w:sz w:val="20"/>
          <w:szCs w:val="20"/>
        </w:rPr>
      </w:pPr>
      <w:r w:rsidRPr="003440D3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3440D3">
        <w:rPr>
          <w:rFonts w:ascii="Arial" w:hAnsi="Arial" w:cs="Arial"/>
          <w:sz w:val="20"/>
          <w:szCs w:val="20"/>
        </w:rPr>
        <w:t>TechEnabler</w:t>
      </w:r>
      <w:proofErr w:type="spellEnd"/>
      <w:r w:rsidRPr="003440D3">
        <w:rPr>
          <w:rFonts w:ascii="Arial" w:hAnsi="Arial" w:cs="Arial"/>
          <w:sz w:val="20"/>
          <w:szCs w:val="20"/>
        </w:rPr>
        <w:t xml:space="preserve"> é um MSSP (</w:t>
      </w:r>
      <w:proofErr w:type="spellStart"/>
      <w:r w:rsidRPr="003440D3">
        <w:rPr>
          <w:rFonts w:ascii="Arial" w:hAnsi="Arial" w:cs="Arial"/>
          <w:sz w:val="20"/>
          <w:szCs w:val="20"/>
        </w:rPr>
        <w:t>Managed</w:t>
      </w:r>
      <w:proofErr w:type="spellEnd"/>
      <w:r w:rsidRPr="003440D3">
        <w:rPr>
          <w:rFonts w:ascii="Arial" w:hAnsi="Arial" w:cs="Arial"/>
          <w:sz w:val="20"/>
          <w:szCs w:val="20"/>
        </w:rPr>
        <w:t xml:space="preserve"> Security Services </w:t>
      </w:r>
      <w:proofErr w:type="spellStart"/>
      <w:r w:rsidRPr="003440D3">
        <w:rPr>
          <w:rFonts w:ascii="Arial" w:hAnsi="Arial" w:cs="Arial"/>
          <w:sz w:val="20"/>
          <w:szCs w:val="20"/>
        </w:rPr>
        <w:t>Provider</w:t>
      </w:r>
      <w:proofErr w:type="spellEnd"/>
      <w:r w:rsidRPr="003440D3">
        <w:rPr>
          <w:rFonts w:ascii="Arial" w:hAnsi="Arial" w:cs="Arial"/>
          <w:sz w:val="20"/>
          <w:szCs w:val="20"/>
        </w:rPr>
        <w:t xml:space="preserve">) que reúne mais de 25 anos de experiência multidisciplinar de sua equipe nos mercados brasileiro e latino-americano de Tecnologia da Informação e Telecomunicações. Além de prestar serviços gerenciados, a </w:t>
      </w:r>
      <w:proofErr w:type="spellStart"/>
      <w:r w:rsidRPr="003440D3">
        <w:rPr>
          <w:rFonts w:ascii="Arial" w:hAnsi="Arial" w:cs="Arial"/>
          <w:sz w:val="20"/>
          <w:szCs w:val="20"/>
        </w:rPr>
        <w:t>TechEnabler</w:t>
      </w:r>
      <w:proofErr w:type="spellEnd"/>
      <w:r w:rsidRPr="003440D3">
        <w:rPr>
          <w:rFonts w:ascii="Arial" w:hAnsi="Arial" w:cs="Arial"/>
          <w:sz w:val="20"/>
          <w:szCs w:val="20"/>
        </w:rPr>
        <w:t xml:space="preserve"> vende, conecta e integra tecnologias para reduzir custos operacionais e aumentar a eficiência de redes de telecomunicações, permitindo inclusive que seus clientes gerem novas receitas com a infraestrutura de rede já existente. </w:t>
      </w:r>
    </w:p>
    <w:p w14:paraId="6B5C4B41" w14:textId="6DAA7616" w:rsidR="00586766" w:rsidRPr="003440D3" w:rsidRDefault="00586766" w:rsidP="00586766">
      <w:pPr>
        <w:pStyle w:val="Padro"/>
        <w:spacing w:before="0" w:line="240" w:lineRule="auto"/>
        <w:rPr>
          <w:rFonts w:ascii="Arial" w:hAnsi="Arial" w:cs="Arial"/>
          <w:sz w:val="20"/>
          <w:szCs w:val="20"/>
        </w:rPr>
      </w:pPr>
      <w:r w:rsidRPr="003440D3">
        <w:rPr>
          <w:rFonts w:ascii="Arial" w:hAnsi="Arial" w:cs="Arial"/>
          <w:sz w:val="20"/>
          <w:szCs w:val="20"/>
        </w:rPr>
        <w:t xml:space="preserve">Por meio de mais de 80 clientes corporativos e </w:t>
      </w:r>
      <w:proofErr w:type="spellStart"/>
      <w:r w:rsidRPr="003440D3">
        <w:rPr>
          <w:rFonts w:ascii="Arial" w:hAnsi="Arial" w:cs="Arial"/>
          <w:sz w:val="20"/>
          <w:szCs w:val="20"/>
        </w:rPr>
        <w:t>ISPs</w:t>
      </w:r>
      <w:proofErr w:type="spellEnd"/>
      <w:r w:rsidRPr="003440D3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3440D3">
        <w:rPr>
          <w:rFonts w:ascii="Arial" w:hAnsi="Arial" w:cs="Arial"/>
          <w:sz w:val="20"/>
          <w:szCs w:val="20"/>
        </w:rPr>
        <w:t>TechEnabler</w:t>
      </w:r>
      <w:proofErr w:type="spellEnd"/>
      <w:r w:rsidRPr="003440D3">
        <w:rPr>
          <w:rFonts w:ascii="Arial" w:hAnsi="Arial" w:cs="Arial"/>
          <w:sz w:val="20"/>
          <w:szCs w:val="20"/>
        </w:rPr>
        <w:t xml:space="preserve"> serve a mais de 15 milhões de pessoas em suas residências e escritórios.</w:t>
      </w:r>
    </w:p>
    <w:p w14:paraId="0B442CBC" w14:textId="77777777" w:rsidR="00586766" w:rsidRPr="003440D3" w:rsidRDefault="00586766" w:rsidP="00586766">
      <w:pPr>
        <w:pStyle w:val="Padro"/>
        <w:spacing w:before="0" w:line="240" w:lineRule="auto"/>
        <w:rPr>
          <w:rFonts w:ascii="Arial" w:hAnsi="Arial" w:cs="Arial"/>
          <w:sz w:val="20"/>
          <w:szCs w:val="20"/>
        </w:rPr>
      </w:pPr>
    </w:p>
    <w:p w14:paraId="4EBFEF7A" w14:textId="77777777" w:rsidR="00586766" w:rsidRPr="003440D3" w:rsidRDefault="00586766" w:rsidP="00586766">
      <w:pPr>
        <w:pStyle w:val="Padro"/>
        <w:spacing w:before="0" w:line="240" w:lineRule="auto"/>
        <w:rPr>
          <w:rFonts w:ascii="Arial" w:hAnsi="Arial" w:cs="Arial"/>
          <w:sz w:val="20"/>
          <w:szCs w:val="20"/>
        </w:rPr>
      </w:pPr>
    </w:p>
    <w:p w14:paraId="474E5EAC" w14:textId="77777777" w:rsidR="00B046AC" w:rsidRPr="00436429" w:rsidRDefault="00B046AC" w:rsidP="00B046AC">
      <w:pPr>
        <w:pStyle w:val="NormalWeb"/>
        <w:spacing w:before="0" w:beforeAutospacing="0" w:after="0" w:afterAutospacing="0"/>
        <w:rPr>
          <w:rFonts w:ascii="Arial" w:eastAsia="Arial Nova" w:hAnsi="Arial" w:cs="Arial"/>
          <w:b/>
          <w:bCs/>
          <w:i/>
          <w:iCs/>
          <w:sz w:val="20"/>
          <w:szCs w:val="20"/>
        </w:rPr>
      </w:pPr>
      <w:r w:rsidRPr="00436429">
        <w:rPr>
          <w:rFonts w:ascii="Arial" w:eastAsia="Arial Nova" w:hAnsi="Arial" w:cs="Arial"/>
          <w:b/>
          <w:bCs/>
          <w:i/>
          <w:iCs/>
          <w:sz w:val="20"/>
          <w:szCs w:val="20"/>
        </w:rPr>
        <w:t>Mais informações para a imprensa:</w:t>
      </w:r>
    </w:p>
    <w:p w14:paraId="2492C5E0" w14:textId="77777777" w:rsidR="00B046AC" w:rsidRPr="00436429" w:rsidRDefault="00B046AC" w:rsidP="00B046AC">
      <w:pPr>
        <w:pStyle w:val="NormalWeb"/>
        <w:spacing w:before="0" w:beforeAutospacing="0" w:after="0" w:afterAutospacing="0"/>
        <w:rPr>
          <w:rFonts w:ascii="Arial" w:eastAsia="Arial Nova" w:hAnsi="Arial" w:cs="Arial"/>
          <w:sz w:val="20"/>
          <w:szCs w:val="20"/>
        </w:rPr>
      </w:pPr>
      <w:r w:rsidRPr="00436429">
        <w:rPr>
          <w:rFonts w:ascii="Arial" w:eastAsia="Arial Nova" w:hAnsi="Arial" w:cs="Arial"/>
          <w:sz w:val="20"/>
          <w:szCs w:val="20"/>
        </w:rPr>
        <w:t xml:space="preserve">Silvia Helena Rodrigues </w:t>
      </w:r>
    </w:p>
    <w:p w14:paraId="2DBDF09A" w14:textId="77777777" w:rsidR="00B046AC" w:rsidRPr="00436429" w:rsidRDefault="00B046AC" w:rsidP="00B046AC">
      <w:pPr>
        <w:pStyle w:val="NormalWeb"/>
        <w:spacing w:before="0" w:beforeAutospacing="0" w:after="0" w:afterAutospacing="0"/>
        <w:rPr>
          <w:rFonts w:ascii="Arial" w:eastAsia="Arial Nova" w:hAnsi="Arial" w:cs="Arial"/>
          <w:sz w:val="20"/>
          <w:szCs w:val="20"/>
        </w:rPr>
      </w:pPr>
      <w:proofErr w:type="spellStart"/>
      <w:r w:rsidRPr="00436429">
        <w:rPr>
          <w:rFonts w:ascii="Arial" w:eastAsia="Arial Nova" w:hAnsi="Arial" w:cs="Arial"/>
          <w:sz w:val="20"/>
          <w:szCs w:val="20"/>
        </w:rPr>
        <w:t>TechEnabler</w:t>
      </w:r>
      <w:proofErr w:type="spellEnd"/>
    </w:p>
    <w:p w14:paraId="6AC40FB2" w14:textId="34768C24" w:rsidR="00B046AC" w:rsidRPr="00436429" w:rsidRDefault="00B046AC" w:rsidP="00B046AC">
      <w:pPr>
        <w:pStyle w:val="NormalWeb"/>
        <w:spacing w:before="0" w:beforeAutospacing="0" w:after="0" w:afterAutospacing="0"/>
        <w:rPr>
          <w:rFonts w:ascii="Arial" w:eastAsia="Arial Nova" w:hAnsi="Arial" w:cs="Arial"/>
          <w:color w:val="1F1F1F"/>
          <w:sz w:val="20"/>
          <w:szCs w:val="20"/>
        </w:rPr>
      </w:pPr>
      <w:hyperlink r:id="rId11" w:history="1">
        <w:r w:rsidRPr="00B046AC">
          <w:rPr>
            <w:rStyle w:val="Hyperlink"/>
            <w:rFonts w:ascii="Arial" w:eastAsia="Arial Nova" w:hAnsi="Arial" w:cs="Arial"/>
            <w:color w:val="0070C0"/>
            <w:sz w:val="20"/>
            <w:szCs w:val="20"/>
          </w:rPr>
          <w:t>silvia.helena@techenabler.com.br</w:t>
        </w:r>
      </w:hyperlink>
      <w:r>
        <w:rPr>
          <w:rFonts w:ascii="Arial" w:eastAsia="Arial Nova" w:hAnsi="Arial" w:cs="Arial"/>
          <w:sz w:val="20"/>
          <w:szCs w:val="20"/>
        </w:rPr>
        <w:tab/>
      </w:r>
      <w:r w:rsidRPr="00436429">
        <w:rPr>
          <w:rFonts w:ascii="Arial" w:eastAsia="Arial Nova" w:hAnsi="Arial" w:cs="Arial"/>
          <w:color w:val="1F1F1F"/>
          <w:sz w:val="20"/>
          <w:szCs w:val="20"/>
        </w:rPr>
        <w:tab/>
      </w:r>
    </w:p>
    <w:p w14:paraId="7E9B1200" w14:textId="77777777" w:rsidR="00B046AC" w:rsidRPr="0001420D" w:rsidRDefault="00B046AC" w:rsidP="00B046A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36429">
        <w:rPr>
          <w:rFonts w:ascii="Arial" w:eastAsia="Arial Nova" w:hAnsi="Arial" w:cs="Arial"/>
          <w:sz w:val="20"/>
          <w:szCs w:val="20"/>
        </w:rPr>
        <w:t>Tel.: +55 11 94513-6987</w:t>
      </w:r>
    </w:p>
    <w:p w14:paraId="517CE0FD" w14:textId="77777777" w:rsidR="00021DCE" w:rsidRPr="00586766" w:rsidRDefault="0059378B">
      <w:pPr>
        <w:pStyle w:val="Padro"/>
        <w:spacing w:before="0" w:line="240" w:lineRule="auto"/>
        <w:rPr>
          <w:rFonts w:ascii="Arial" w:hAnsi="Arial" w:cs="Arial"/>
          <w:sz w:val="20"/>
          <w:szCs w:val="20"/>
        </w:rPr>
      </w:pPr>
      <w:r w:rsidRPr="003440D3">
        <w:rPr>
          <w:rFonts w:ascii="Arial" w:hAnsi="Arial" w:cs="Arial"/>
          <w:sz w:val="20"/>
          <w:szCs w:val="20"/>
        </w:rPr>
        <w:t> </w:t>
      </w:r>
    </w:p>
    <w:sectPr w:rsidR="00021DCE" w:rsidRPr="00586766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701CF" w14:textId="77777777" w:rsidR="00835473" w:rsidRPr="003440D3" w:rsidRDefault="00835473">
      <w:r w:rsidRPr="003440D3">
        <w:separator/>
      </w:r>
    </w:p>
  </w:endnote>
  <w:endnote w:type="continuationSeparator" w:id="0">
    <w:p w14:paraId="7B08B59D" w14:textId="77777777" w:rsidR="00835473" w:rsidRPr="003440D3" w:rsidRDefault="00835473">
      <w:r w:rsidRPr="003440D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3ED49" w14:textId="77777777" w:rsidR="00021DCE" w:rsidRPr="003440D3" w:rsidRDefault="00021D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313B9" w14:textId="77777777" w:rsidR="00835473" w:rsidRPr="003440D3" w:rsidRDefault="00835473">
      <w:r w:rsidRPr="003440D3">
        <w:separator/>
      </w:r>
    </w:p>
  </w:footnote>
  <w:footnote w:type="continuationSeparator" w:id="0">
    <w:p w14:paraId="50E65CB9" w14:textId="77777777" w:rsidR="00835473" w:rsidRPr="003440D3" w:rsidRDefault="00835473">
      <w:r w:rsidRPr="003440D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49306" w14:textId="77777777" w:rsidR="00021DCE" w:rsidRPr="003440D3" w:rsidRDefault="00021D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E4450"/>
    <w:multiLevelType w:val="hybridMultilevel"/>
    <w:tmpl w:val="7922782E"/>
    <w:numStyleLink w:val="Marcador"/>
  </w:abstractNum>
  <w:abstractNum w:abstractNumId="1" w15:restartNumberingAfterBreak="0">
    <w:nsid w:val="7E317BF5"/>
    <w:multiLevelType w:val="hybridMultilevel"/>
    <w:tmpl w:val="7922782E"/>
    <w:styleLink w:val="Marcador"/>
    <w:lvl w:ilvl="0" w:tplc="1D522D4A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E047C">
      <w:start w:val="1"/>
      <w:numFmt w:val="bullet"/>
      <w:lvlText w:val="•"/>
      <w:lvlJc w:val="left"/>
      <w:pPr>
        <w:ind w:left="4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328368A">
      <w:start w:val="1"/>
      <w:numFmt w:val="bullet"/>
      <w:lvlText w:val="•"/>
      <w:lvlJc w:val="left"/>
      <w:pPr>
        <w:ind w:left="6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25AE00C">
      <w:start w:val="1"/>
      <w:numFmt w:val="bullet"/>
      <w:lvlText w:val="•"/>
      <w:lvlJc w:val="left"/>
      <w:pPr>
        <w:ind w:left="138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4" w:tplc="D93C67A0">
      <w:start w:val="1"/>
      <w:numFmt w:val="bullet"/>
      <w:lvlText w:val="•"/>
      <w:lvlJc w:val="left"/>
      <w:pPr>
        <w:ind w:left="160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5" w:tplc="FF0059A2">
      <w:start w:val="1"/>
      <w:numFmt w:val="bullet"/>
      <w:lvlText w:val="•"/>
      <w:lvlJc w:val="left"/>
      <w:pPr>
        <w:ind w:left="182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6" w:tplc="FB02374E">
      <w:start w:val="1"/>
      <w:numFmt w:val="bullet"/>
      <w:lvlText w:val="•"/>
      <w:lvlJc w:val="left"/>
      <w:pPr>
        <w:ind w:left="204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7" w:tplc="082AA1EA">
      <w:start w:val="1"/>
      <w:numFmt w:val="bullet"/>
      <w:lvlText w:val="•"/>
      <w:lvlJc w:val="left"/>
      <w:pPr>
        <w:ind w:left="226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8" w:tplc="171A9486">
      <w:start w:val="1"/>
      <w:numFmt w:val="bullet"/>
      <w:lvlText w:val="•"/>
      <w:lvlJc w:val="left"/>
      <w:pPr>
        <w:ind w:left="248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579514258">
    <w:abstractNumId w:val="1"/>
  </w:num>
  <w:num w:numId="2" w16cid:durableId="193701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CE"/>
    <w:rsid w:val="00021DCE"/>
    <w:rsid w:val="000477D1"/>
    <w:rsid w:val="00050555"/>
    <w:rsid w:val="00057C9A"/>
    <w:rsid w:val="00084759"/>
    <w:rsid w:val="000C7D27"/>
    <w:rsid w:val="000E6C95"/>
    <w:rsid w:val="000E74CF"/>
    <w:rsid w:val="00104BB0"/>
    <w:rsid w:val="00105335"/>
    <w:rsid w:val="00110C5C"/>
    <w:rsid w:val="001233A6"/>
    <w:rsid w:val="001345E1"/>
    <w:rsid w:val="00137F42"/>
    <w:rsid w:val="001508DC"/>
    <w:rsid w:val="0017221E"/>
    <w:rsid w:val="0018538F"/>
    <w:rsid w:val="00210E7F"/>
    <w:rsid w:val="0026468C"/>
    <w:rsid w:val="00330978"/>
    <w:rsid w:val="003440D3"/>
    <w:rsid w:val="00344BA1"/>
    <w:rsid w:val="003614FD"/>
    <w:rsid w:val="003D1E1B"/>
    <w:rsid w:val="004169CB"/>
    <w:rsid w:val="0043655B"/>
    <w:rsid w:val="004414CF"/>
    <w:rsid w:val="00476851"/>
    <w:rsid w:val="004A08A5"/>
    <w:rsid w:val="004D2826"/>
    <w:rsid w:val="004E29CC"/>
    <w:rsid w:val="00574D8B"/>
    <w:rsid w:val="00580D17"/>
    <w:rsid w:val="00586766"/>
    <w:rsid w:val="0059378B"/>
    <w:rsid w:val="005B05F0"/>
    <w:rsid w:val="005B6963"/>
    <w:rsid w:val="005F6D12"/>
    <w:rsid w:val="0065755A"/>
    <w:rsid w:val="006630CD"/>
    <w:rsid w:val="006A4B28"/>
    <w:rsid w:val="006B40FA"/>
    <w:rsid w:val="007549A5"/>
    <w:rsid w:val="00775ED7"/>
    <w:rsid w:val="007973B7"/>
    <w:rsid w:val="007A35F3"/>
    <w:rsid w:val="007D4485"/>
    <w:rsid w:val="00805848"/>
    <w:rsid w:val="00821B2C"/>
    <w:rsid w:val="00835473"/>
    <w:rsid w:val="00872CE3"/>
    <w:rsid w:val="008E7ED3"/>
    <w:rsid w:val="00957E29"/>
    <w:rsid w:val="009A538A"/>
    <w:rsid w:val="00A52E70"/>
    <w:rsid w:val="00A74D38"/>
    <w:rsid w:val="00B046AC"/>
    <w:rsid w:val="00B8432F"/>
    <w:rsid w:val="00B84F05"/>
    <w:rsid w:val="00BB0E2A"/>
    <w:rsid w:val="00BF44E1"/>
    <w:rsid w:val="00C078CD"/>
    <w:rsid w:val="00C760DE"/>
    <w:rsid w:val="00C95F29"/>
    <w:rsid w:val="00CA7E14"/>
    <w:rsid w:val="00CE385A"/>
    <w:rsid w:val="00D3260A"/>
    <w:rsid w:val="00DC23A0"/>
    <w:rsid w:val="00E16002"/>
    <w:rsid w:val="00E64CEB"/>
    <w:rsid w:val="00E83A83"/>
    <w:rsid w:val="00E85F97"/>
    <w:rsid w:val="00EF0565"/>
    <w:rsid w:val="00F401C0"/>
    <w:rsid w:val="00F4288B"/>
    <w:rsid w:val="00F44AD7"/>
    <w:rsid w:val="00F77D95"/>
    <w:rsid w:val="00FA5C31"/>
    <w:rsid w:val="00F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257C"/>
  <w15:docId w15:val="{D77CFE74-F4A5-4A11-A72A-60357067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outline w:val="0"/>
      <w:color w:val="467886"/>
      <w:u w:val="single" w:color="467885"/>
    </w:rPr>
  </w:style>
  <w:style w:type="character" w:styleId="MenoPendente">
    <w:name w:val="Unresolved Mention"/>
    <w:basedOn w:val="Fontepargpadro"/>
    <w:uiPriority w:val="99"/>
    <w:semiHidden/>
    <w:unhideWhenUsed/>
    <w:rsid w:val="00586766"/>
    <w:rPr>
      <w:color w:val="605E5C"/>
      <w:shd w:val="clear" w:color="auto" w:fill="E1DFDD"/>
    </w:rPr>
  </w:style>
  <w:style w:type="numbering" w:customStyle="1" w:styleId="Marcador">
    <w:name w:val="Marcador"/>
    <w:rsid w:val="0017221E"/>
    <w:pPr>
      <w:numPr>
        <w:numId w:val="1"/>
      </w:numPr>
    </w:pPr>
  </w:style>
  <w:style w:type="character" w:styleId="HiperlinkVisitado">
    <w:name w:val="FollowedHyperlink"/>
    <w:basedOn w:val="Fontepargpadro"/>
    <w:uiPriority w:val="99"/>
    <w:semiHidden/>
    <w:unhideWhenUsed/>
    <w:rsid w:val="00F4288B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046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system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ryo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via.helena@techenabler.com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rer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enti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Leal</dc:creator>
  <cp:lastModifiedBy>Carlos Leal</cp:lastModifiedBy>
  <cp:revision>25</cp:revision>
  <dcterms:created xsi:type="dcterms:W3CDTF">2025-07-07T19:18:00Z</dcterms:created>
  <dcterms:modified xsi:type="dcterms:W3CDTF">2025-08-13T20:52:00Z</dcterms:modified>
</cp:coreProperties>
</file>